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medPrFAbk (Bayern)</w:t>
      </w:r>
    </w:p>
    <w:p>
      <w:r>
        <w:rPr>
          <w:color w:val="555555"/>
          <w:sz w:val="18"/>
        </w:rPr>
        <w:t xml:space="preserve">Abkommen über die Errichtung und Finanzierung des Instituts für medizinische und pharmazeutische Prüfungsfragen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Organe des Instituts sind</w:t>
      </w:r>
    </w:p>
    <w:p>
      <w:r>
        <w:t xml:space="preserve">1. der Verwaltungsrat</w:t>
      </w:r>
    </w:p>
    <w:p>
      <w:r>
        <w:t xml:space="preserve">2. der Leiter des Instituts.</w:t>
      </w:r>
    </w:p>
    <w:p>
      <w:r>
        <w:rPr>
          <w:color w:val="555555"/>
          <w:sz w:val="17"/>
        </w:rPr>
        <w:t xml:space="preserve">Zitiervorschlag: Art 4 medPrFAbk (Bayern)</w:t>
      </w:r>
    </w:p>
    <w:p>
      <w:r>
        <w:rPr>
          <w:color w:val="555555"/>
          <w:sz w:val="17"/>
        </w:rPr>
        <w:t xml:space="preserve">Quelle: bayernrecht, abgerufen 27.08.2026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https://recht.nulegal.eu/gesetze/medPrFAbk/4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