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medPrFAbk (Bayern)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Beamten des Instituts sind mittelbare Landesbeamte des Landes Rheinland-Pfalz.</w:t>
      </w:r>
    </w:p>
    <w:p>
      <w:r>
        <w:t xml:space="preserve">(2) Die Arbeitsverhältnisse der Angestellten und Arbeiter sind nach den für Angestellte und Arbeiter des Landes Rheinland-Pfalz geltenden Bestimmungen zu regeln.</w:t>
      </w:r>
    </w:p>
    <w:p>
      <w:r>
        <w:rPr>
          <w:color w:val="555555"/>
          <w:sz w:val="17"/>
        </w:rPr>
        <w:t xml:space="preserve">Zitiervorschlag: Art 10 medPrFAbk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https://recht.nulegal.eu/gesetze/medPrFAbk/10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