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MauerV</w:t>
      </w:r>
    </w:p>
    <w:p>
      <w:r>
        <w:rPr>
          <w:color w:val="555555"/>
          <w:sz w:val="18"/>
        </w:rPr>
        <w:t xml:space="preserve">Mauergrundstücksverordnung</w:t>
      </w:r>
    </w:p>
    <w:p>
      <w:r>
        <w:rPr>
          <w:color w:val="555555"/>
          <w:sz w:val="18"/>
        </w:rPr>
        <w:t xml:space="preserve">Historische Fassung: Stand 10.06.2019 bis 01.02.2024. Dies ist nicht die aktuelle Fassung.</w:t>
      </w:r>
    </w:p>
    <w:p>
      <w:r>
        <w:t xml:space="preserve">Auf Grund des § 6 des Mauergrundstücksgesetzes vom 15. Juli 1996 (BGBl. I S. 980) verordnet das Bundesministerium der Finanzen:</w:t>
      </w:r>
    </w:p>
    <w:p>
      <w:r>
        <w:rPr>
          <w:color w:val="555555"/>
          <w:sz w:val="17"/>
        </w:rPr>
        <w:t xml:space="preserve">Zitiervorschlag: Eingangsformel MauerV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https://recht.nulegal.eu/gesetze/mauerv--2001/eingangsformel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