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MauerV — Schlussabrechnung</w:t>
      </w:r>
    </w:p>
    <w:p>
      <w:r>
        <w:rPr>
          <w:color w:val="555555"/>
          <w:sz w:val="18"/>
        </w:rPr>
        <w:t xml:space="preserve">Mauergrundstücksverordnung</w:t>
      </w:r>
    </w:p>
    <w:p>
      <w:r>
        <w:rPr>
          <w:color w:val="555555"/>
          <w:sz w:val="18"/>
        </w:rPr>
        <w:t xml:space="preserve">Historische Fassung: Stand 10.06.2019 bis 01.02.2024. Dies ist nicht die aktuelle Fassung.</w:t>
      </w:r>
    </w:p>
    <w:p>
      <w:r>
        <w:t xml:space="preserve">Mit der vollständigen Verteilung der Mittel endet der Fonds. Die Auflösung des Fonds wird im Bundesgesetzblatt bekannt gegeben.</w:t>
      </w:r>
    </w:p>
    <w:p>
      <w:r>
        <w:rPr>
          <w:color w:val="555555"/>
          <w:sz w:val="17"/>
        </w:rPr>
        <w:t xml:space="preserve">Zitiervorschlag: § 5 MauerV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https://recht.nulegal.eu/gesetze/mauerv--2001/5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