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MalerLackAusbV</w:t>
      </w:r>
    </w:p>
    <w:p>
      <w:r>
        <w:rPr>
          <w:color w:val="555555"/>
          <w:sz w:val="18"/>
        </w:rPr>
        <w:t xml:space="preserve">Verordnung über die Berufsausbildung im Maler- und Lackierergewerbe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Auf Grund des § 25 Abs. 1 in Verbindung mit Abs. 2 Satz 1 der Handwerksordnung in der Fassung der Bekanntmachung vom 24. September 1998 (BGBl. I S. 3074), von dem Absatz 1 durch Artikel 135 Nr. 3 der Verordnung vom 29. Oktober 2001 (BGBl. I S. 2785) geändert worden ist, in Verbindung mit § 1 des Zuständigkeitsanpassungsgesetzes vom 16. August 2002 (BGBl. I S. 3165) und dem Organisationserlass vom 22. Oktober 2002 (BGBl. I S. 4206)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MalerLackAusbV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https://recht.nulegal.eu/gesetze/malerlackausbv--2003/eingangsformel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