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MalerLackAusbV — Ausbildungsrahmenpläne</w:t>
      </w:r>
    </w:p>
    <w:p>
      <w:r>
        <w:rPr>
          <w:color w:val="555555"/>
          <w:sz w:val="18"/>
        </w:rPr>
        <w:t xml:space="preserve">Verordnung über die Berufsausbildung im Maler- und Lackierergewerbe</w:t>
      </w:r>
    </w:p>
    <w:p>
      <w:r>
        <w:rPr>
          <w:color w:val="555555"/>
          <w:sz w:val="18"/>
        </w:rPr>
        <w:t xml:space="preserve">Historische Fassung: Stand 10.06.2019 bis 01.08.2021. Dies ist nicht die aktuelle Fassung.</w:t>
      </w:r>
    </w:p>
    <w:p>
      <w:r>
        <w:t xml:space="preserve">Die in § 5 genannten Fertigkeiten und Kenntnisse sollen nach der in der Anlage 1 für die berufliche Grundbildung und für die berufliche Fachbildung und die in § 6 genannten Fertigkeiten und Kenntnisse nach der in der Anlage 2 enthaltenen Anleitungen zur sachlichen und zeitlichen Gliederung der Berufsausbildung (Ausbildungsrahmenplan) vermittelt werden. Eine von den Ausbildungsrahmenplänen innerhalb der beruflichen Grundbildung und innerhalb der beruflichen Fachbildung abweichende sachliche und zeitliche Gliederung des Ausbildungsinhaltes ist insbesondere zulässig, soweit betriebspraktische Besonderheiten die Abweichung erfordern.</w:t>
      </w:r>
    </w:p>
    <w:p>
      <w:r>
        <w:rPr>
          <w:color w:val="555555"/>
          <w:sz w:val="17"/>
        </w:rPr>
        <w:t xml:space="preserve">Zitiervorschlag: § 7 MalerLackAusbV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https://recht.nulegal.eu/gesetze/malerlackausbv--2003/7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