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MalerLackAusbV — Berufsausbildung in überbetrieblichen Ausbildungsstätten</w:t>
      </w:r>
    </w:p>
    <w:p>
      <w:r>
        <w:rPr>
          <w:color w:val="555555"/>
          <w:sz w:val="18"/>
        </w:rPr>
        <w:t xml:space="preserve">Verordnung über die Berufsausbildung im Maler- und Lackierergewerbe</w:t>
      </w:r>
    </w:p>
    <w:p>
      <w:r>
        <w:rPr>
          <w:color w:val="555555"/>
          <w:sz w:val="18"/>
        </w:rPr>
        <w:t xml:space="preserve">Historische Fassung: Stand 10.06.2019 bis 01.08.2021. Dies ist nicht die aktuelle Fassung.</w:t>
      </w:r>
    </w:p>
    <w:p>
      <w:r>
        <w:t xml:space="preserve">Die Berufsausbildung ist entsprechend dem Ausbildungsrahmenplan (Anlagen 1 und 2) während einer Dauer von acht Wochen wie folgt in überbetrieblichen Ausbildungsstätten zu ergänzen und zu vertiefen, sofern dies nicht im Ausbildungsbetrieb erfolgen kann:</w:t>
      </w:r>
    </w:p>
    <w:p>
      <w:pPr>
        <w:ind w:left="420"/>
      </w:pPr>
      <w:r>
        <w:t xml:space="preserve">1. im ersten Ausbildungsjahr der Berufsausbildung in zwei Wochen Fertigkeiten und Kenntnisse aus der Anlage 1 im Abschnitt I, laufende Nummern 9 bis 12,</w:t>
      </w:r>
    </w:p>
    <w:p>
      <w:pPr>
        <w:ind w:left="420"/>
      </w:pPr>
      <w:r>
        <w:t xml:space="preserve">2. im zweiten Ausbildungsjahr der Berufsausbildung in drei Wochen Fertigkeiten und Kenntnisse aus der Anlage 1 im Abschnitt II, laufende Nummern 7 und 8,</w:t>
      </w:r>
    </w:p>
    <w:p>
      <w:pPr>
        <w:ind w:left="420"/>
      </w:pPr>
      <w:r>
        <w:t xml:space="preserve">3. im dritten Ausbildungsjahr der Berufsausbildung in drei Wochen Fertigkeiten und Kenntnisse</w:t>
      </w:r>
    </w:p>
    <w:p>
      <w:pPr>
        <w:ind w:left="780"/>
      </w:pPr>
      <w:r>
        <w:t xml:space="preserve">a) aus der Anlage 2 der Fachrichtung A Gestaltung und Instandhaltung die laufenden Nummern 3 bis 6,</w:t>
      </w:r>
    </w:p>
    <w:p>
      <w:pPr>
        <w:ind w:left="780"/>
      </w:pPr>
      <w:r>
        <w:t xml:space="preserve">b) aus der Anlage 2 der Fachrichtung B Kirchenmalerei und Denkmalpflege die laufenden Nummern 4 bis 6,</w:t>
      </w:r>
    </w:p>
    <w:p>
      <w:pPr>
        <w:ind w:left="780"/>
      </w:pPr>
      <w:r>
        <w:t xml:space="preserve">c) aus der Anlage 2 der Fachrichtung C Bauten- und Korrosionsschutz die laufenden Nummern 3, 5 und 6.</w:t>
      </w:r>
    </w:p>
    <w:p>
      <w:r>
        <w:rPr>
          <w:color w:val="555555"/>
          <w:sz w:val="17"/>
        </w:rPr>
        <w:t xml:space="preserve">Zitiervorschlag: § 4 MalerLackAusbV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https://recht.nulegal.eu/gesetze/malerlackausbv--2003/4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