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MalerLackAusbV — Berufsfeldbreite Grundbildung und Zielsetzung der Berufsausbildung</w:t>
      </w:r>
    </w:p>
    <w:p>
      <w:r>
        <w:rPr>
          <w:color w:val="555555"/>
          <w:sz w:val="18"/>
        </w:rPr>
        <w:t xml:space="preserve">Verordnung über die Berufsausbildung im Maler- und Lackierergewerbe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(1) Die Ausbildung im ersten Ausbildungsjahr vermittelt eine berufsfeldbreite Grundbildung, wenn die betriebliche Ausbildung nach dieser Verordnung und die Ausbildung in der Berufsschule nach landesrechtlichen Vorschriften über das Berufsgrundbildungsjahr erfolgen.</w:t>
      </w:r>
    </w:p>
    <w:p>
      <w:r>
        <w:t xml:space="preserve">(2) Die in dieser Verordnung genannten Fertigkeiten und Kenntnisse sollen so vermittelt werden, dass die Auszubildenden zur Ausübung einer qualifizierten beruflichen Tätigkeit im Sinne von § 1 Abs. 2 des Berufsbildungsgesetzes befähigt werden, die insbesondere selbständiges Planen, Durchführen und Kontrollieren einschließt. Diese Befähigung ist auch in den Prüfungen nach den §§ 10 bis 15 nachzuweisen.</w:t>
      </w:r>
    </w:p>
    <w:p>
      <w:r>
        <w:rPr>
          <w:color w:val="555555"/>
          <w:sz w:val="17"/>
        </w:rPr>
        <w:t xml:space="preserve">Zitiervorschlag: § 3 MalerLackAusbV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https://recht.nulegal.eu/gesetze/malerlackausbv--2003/3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