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MalerLackAusbV — Staatliche Anerkennung der Ausbildungsberufe im Rahmen einer Stufenausbildung</w:t>
      </w:r>
    </w:p>
    <w:p>
      <w:r>
        <w:rPr>
          <w:color w:val="555555"/>
          <w:sz w:val="18"/>
        </w:rPr>
        <w:t xml:space="preserve">Verordnung über die Berufsausbildung im Maler- und Lackierergewerbe</w:t>
      </w:r>
    </w:p>
    <w:p>
      <w:r>
        <w:rPr>
          <w:color w:val="555555"/>
          <w:sz w:val="18"/>
        </w:rPr>
        <w:t xml:space="preserve">Historische Fassung: Stand 10.06.2019 bis 01.08.2021. Dies ist nicht die aktuelle Fassung.</w:t>
      </w:r>
    </w:p>
    <w:p>
      <w:r>
        <w:t xml:space="preserve">Der Ausbildungsberuf Bauten- und Objektbeschichter/Bauten- und Objektbeschichterin sowie der darauf aufbauende Ausbildungsberuf Maler und Lackierer/Malerin und Lackiererin werden gemäß § 25 der Handwerksordnung für die Ausbildung für das Gewerbe Nr. 13, Maler und Lackierer, der Anlage A der Handwerksordnung staatlich anerkannt.</w:t>
      </w:r>
    </w:p>
    <w:p>
      <w:r>
        <w:rPr>
          <w:color w:val="555555"/>
          <w:sz w:val="17"/>
        </w:rPr>
        <w:t xml:space="preserve">Zitiervorschlag: § 1 MalerLackAusbV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https://recht.nulegal.eu/gesetze/malerlackausbv--2003/1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MalerLackAusbV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