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MADG — Dateianordnungen</w:t>
      </w:r>
    </w:p>
    <w:p>
      <w:r>
        <w:rPr>
          <w:color w:val="555555"/>
          <w:sz w:val="18"/>
        </w:rPr>
        <w:t xml:space="preserve">MAD-Gesetz</w:t>
      </w:r>
    </w:p>
    <w:p>
      <w:r>
        <w:rPr>
          <w:color w:val="555555"/>
          <w:sz w:val="18"/>
        </w:rPr>
        <w:t xml:space="preserve">Historische Fassung: Stand 10.06.2019 bis 16.01.2026. Dies ist nicht die aktuelle Fassung.</w:t>
      </w:r>
    </w:p>
    <w:p>
      <w:r>
        <w:t xml:space="preserve">Der Militärische Abschirmdienst hat für jede automatisierte Datei mit personenbezogenen Daten eine Dateianordnung nach § 14 des Bundesverfassungsschutzgesetzes zu treffen, die der Zustimmung des Bundesministeriums der Verteidigung bedarf. § 14 Abs. 2 und 3 des Bundesverfassungsschutzgesetzes findet Anwendung.</w:t>
      </w:r>
    </w:p>
    <w:p>
      <w:r>
        <w:rPr>
          <w:color w:val="555555"/>
          <w:sz w:val="17"/>
        </w:rPr>
        <w:t xml:space="preserve">Zitiervorschlag: § 8 MADG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https://recht.nulegal.eu/gesetze/madg--1990/8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