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MADG — Verwendung personenbezogener Daten von Minderjährigen</w:t>
      </w:r>
    </w:p>
    <w:p>
      <w:r>
        <w:rPr>
          <w:color w:val="555555"/>
          <w:sz w:val="18"/>
        </w:rPr>
        <w:t xml:space="preserve">MAD-Gesetz</w:t>
      </w:r>
    </w:p>
    <w:p>
      <w:r>
        <w:rPr>
          <w:color w:val="555555"/>
          <w:sz w:val="18"/>
        </w:rPr>
        <w:t xml:space="preserve">Historische Fassung: Stand 10.06.2019 bis 16.01.2026. Dies ist nicht die aktuelle Fassung.</w:t>
      </w:r>
    </w:p>
    <w:p>
      <w:r>
        <w:t xml:space="preserve">In Dateien oder zu ihrer Person geführten Akten gespeicherte Daten über Minderjährige sind nach zwei Jahren auf die Erforderlichkeit der Speicherung zu überprüfen und spätestens nach fünf Jahren zu löschen, es sei denn, dass nach Eintritt der Volljährigkeit weitere Erkenntnisse nach § 1 Absatz 1 oder § 2 angefallen sind. Dies gilt nicht, wenn der Betroffene nach § 1 Absatz 3 überprüft wird. Die Speicherung personenbezogener Daten über Minderjährige vor Vollendung des 16. Lebensjahres in zu ihrer Person geführten Akten und Dateien ist unzulässig.</w:t>
      </w:r>
    </w:p>
    <w:p>
      <w:r>
        <w:rPr>
          <w:color w:val="555555"/>
          <w:sz w:val="17"/>
        </w:rPr>
        <w:t xml:space="preserve">Zitiervorschlag: § 7 MADG</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https://recht.nulegal.eu/gesetze/madg--1990/7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