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MADG — Besondere Auskunftsverlangen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10.07.2021 bis 16.01.2026. Dies ist nicht die aktuelle Fassung.</w:t>
      </w:r>
    </w:p>
    <w:p>
      <w:r>
        <w:t xml:space="preserve">Die §§ 8a und 8b des Bundesverfassungsschutzgesetzes sind mit der Maßgabe entsprechend anzuwenden, dass an die Stelle der schwerwiegenden Gefahren für die in § 3 Absatz 1 des Bundesverfassungsschutzgesetzes genannten Schutzgüter schwerwiegende Gefahren für die in § 1 Absatz 1 genannten Schutzgüter und an die Stelle des Bundesministeriums des Innern, für Bau und Heimat das Bundesministerium der Verteidigung treten.</w:t>
      </w:r>
    </w:p>
    <w:p>
      <w:r>
        <w:rPr>
          <w:color w:val="555555"/>
          <w:sz w:val="17"/>
        </w:rPr>
        <w:t xml:space="preserve">Zitiervorschlag: § 4a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