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13a MADG — Unabhängige Datenschutzkontrolle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Historische Fassung: Stand 10.07.2021 bis 16.01.2026. Dies ist nicht die aktuelle Fassung.</w:t>
      </w:r>
    </w:p>
    <w:p>
      <w:r>
        <w:t xml:space="preserve">§ 28 des Bundesverfassungsschutzgesetzes ist mit der Maßgabe entsprechend anzuwenden, dass an die Stelle des Bundesministeriums des Innern das Bundesministerium der Verteidigung tritt.</w:t>
      </w:r>
    </w:p>
    <w:p>
      <w:r>
        <w:rPr>
          <w:color w:val="555555"/>
          <w:sz w:val="17"/>
        </w:rPr>
        <w:t xml:space="preserve">Zitiervorschlag: § 13a MADG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https://recht.nulegal.eu/gesetze/madg--1990/13a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13a MADG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