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MADG — Verfahrensregeln für die Übermittlung von Informationen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Historische Fassung: Stand 06.01.2024 bis 16.01.2026. Dies ist nicht die aktuelle Fassung.</w:t>
      </w:r>
    </w:p>
    <w:p>
      <w:r>
        <w:t xml:space="preserve">Für die Übermittlung von Informationen nach diesem Gesetz finden die §§ 23 bis 25, 25c und 26 des Bundesverfassungsschutzgesetzes entsprechende Anwendung.</w:t>
      </w:r>
    </w:p>
    <w:p>
      <w:r>
        <w:rPr>
          <w:color w:val="555555"/>
          <w:sz w:val="17"/>
        </w:rPr>
        <w:t xml:space="preserve">Zitiervorschlag: § 12 MADG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https://recht.nulegal.eu/gesetze/madg--1990/12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MADG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