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2020/2 — Inkrafttreten, Außerkrafttreten</w:t>
      </w:r>
    </w:p>
    <w:p>
      <w:r>
        <w:rPr>
          <w:color w:val="555555"/>
          <w:sz w:val="18"/>
        </w:rPr>
        <w:t xml:space="preserve">Luftverkehrsteuer-Absenkungsverordnung 2020</w:t>
      </w:r>
    </w:p>
    <w:p>
      <w:r>
        <w:rPr>
          <w:color w:val="555555"/>
          <w:sz w:val="18"/>
        </w:rPr>
        <w:t xml:space="preserve">Stand: 13.04.2020 (konsolidierte Textfassung, kein amtliches Inkrafttretensdatum)</w:t>
      </w:r>
    </w:p>
    <w:p>
      <w:r>
        <w:t xml:space="preserve">Diese Verordnung tritt mit Wirkung vom 1. April 2020 in Kraft. Gleichzeitig tritt die Luftverkehrsteuer-Absenkungsverordnung 2020 vom 29. November 2019 (BGBl. I S. 2033) außer Kraft.</w:t>
      </w:r>
    </w:p>
    <w:p>
      <w:r>
        <w:rPr>
          <w:color w:val="555555"/>
          <w:sz w:val="17"/>
        </w:rPr>
        <w:t xml:space="preserve">Zitiervorschlag: § 2 LuftVStAbsenkV 2020/2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https://recht.nulegal.eu/gesetze/luftvstabsenkv_2020_2/2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