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LuftVStAbsenkV 2020</w:t>
      </w:r>
    </w:p>
    <w:p>
      <w:r>
        <w:rPr>
          <w:color w:val="555555"/>
          <w:sz w:val="18"/>
        </w:rPr>
        <w:t xml:space="preserve">Luftverkehrsteuer-Absenkungsverordnung 2020</w:t>
      </w:r>
    </w:p>
    <w:p>
      <w:r>
        <w:rPr>
          <w:color w:val="555555"/>
          <w:sz w:val="18"/>
        </w:rPr>
        <w:t xml:space="preserve">Historische Fassung: Stand 10.01.2020 bis 13.04.2020. Dies ist nicht die aktuelle Fassung.</w:t>
      </w:r>
    </w:p>
    <w:p>
      <w:r>
        <w:t xml:space="preserve">Auf Grund des § 11 Absatz 2 des Luftverkehrsteuergesetzes, der zuletzt durch Artikel 237 Nummer 1 der Verordnung vom 31. August 2015 (BGBl. I S. 1474) geändert worden ist, in Verbindung mit § 1 Absatz 2 des Zuständigkeitsanpassungsgesetzes vom 16. August 2002 (BGBl. I S. 3165) und dem Organisationserlass vom 14. März 2018 (BGBl. I S. 374) verordnet das Bundesministerium der Finanzen im Einvernehmen mit dem Bundesministerium für Umwelt, Naturschutz und nukleare Sicherheit, dem Bundesministerium für Verkehr und digitale Infrastruktur und dem Bundesministerium für Wirtschaft und Energie:</w:t>
      </w:r>
    </w:p>
    <w:p>
      <w:r>
        <w:rPr>
          <w:color w:val="555555"/>
          <w:sz w:val="17"/>
        </w:rPr>
        <w:t xml:space="preserve">Zitiervorschlag: Eingangsformel LuftVStAbsenkV 2020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https://recht.nulegal.eu/gesetze/luftvstabsenkv_2020--2019/eingangsformel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