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LuftVGBV</w:t>
      </w:r>
    </w:p>
    <w:p>
      <w:r>
        <w:rPr>
          <w:color w:val="555555"/>
          <w:sz w:val="18"/>
        </w:rPr>
        <w:t xml:space="preserve">LuftVG-Beleihungsverordnung</w:t>
      </w:r>
    </w:p>
    <w:p>
      <w:r>
        <w:rPr>
          <w:color w:val="555555"/>
          <w:sz w:val="18"/>
        </w:rPr>
        <w:t xml:space="preserve">Historische Fassung: Stand 17.10.2019 bis 01.11.2024. Dies ist nicht die aktuelle Fassung.</w:t>
      </w:r>
    </w:p>
    <w:p>
      <w:r>
        <w:t xml:space="preserve">Auf Grund des § 30a Absatz 1 Satz 1 des Luftverkehrsgesetzes, der durch Artikel 1 Nummer 9 des Gesetzes vom 28. Juni 2016 (BGBl. I S. 1548) eingefügt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LuftVGBV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https://recht.nulegal.eu/gesetze/luftvgbv--2019/eingangsformel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