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LuftVGBV — Voraussetzungen der Beleihung</w:t>
      </w:r>
    </w:p>
    <w:p>
      <w:r>
        <w:rPr>
          <w:color w:val="555555"/>
          <w:sz w:val="18"/>
        </w:rPr>
        <w:t xml:space="preserve">LuftVG-Beleihungsverordnung</w:t>
      </w:r>
    </w:p>
    <w:p>
      <w:r>
        <w:rPr>
          <w:color w:val="555555"/>
          <w:sz w:val="18"/>
        </w:rPr>
        <w:t xml:space="preserve">Historische Fassung: Stand 17.10.2019 bis 01.11.2024. Dies ist nicht die aktuelle Fassung.</w:t>
      </w:r>
    </w:p>
    <w:p>
      <w:r>
        <w:t xml:space="preserve">(1) Beliehen werden kann eine juristische Person des privaten Rechts nur, wenn</w:t>
      </w:r>
    </w:p>
    <w:p>
      <w:pPr>
        <w:ind w:left="420"/>
      </w:pPr>
      <w:r>
        <w:t xml:space="preserve">1. sie als Luftfahrtbetrieb nach den German Military Airworthiness Requirements (DEMAR) oder nach dem nationalen Regelverfahren des Prüf- und Zulassungswesens für Luftfahrzeuge und Luftfahrtgerät der Bundeswehr durch das Luftfahrtamt der Bundeswehr genehmigt ist und</w:t>
      </w:r>
    </w:p>
    <w:p>
      <w:pPr>
        <w:ind w:left="420"/>
      </w:pPr>
      <w:r>
        <w:t xml:space="preserve">2. zwischen ihr und der Bundesrepublik Deutschland, einem anderen NATO-Vertragsstaat oder einer multinationalen Organisation bereits ein Vertrag über die Entwicklung, Herstellung oder Instandhaltung von Luftfahrzeugen oder Luftfahrtgerät oder über Ausbildungsleistungen besteht.</w:t>
      </w:r>
    </w:p>
    <w:p>
      <w:r>
        <w:t xml:space="preserve">(2) Näheres zu den Voraussetzungen der Beleihung regelt das Luftfahrtamt der Bundeswehr in Verwaltungsvorschriften.</w:t>
      </w:r>
    </w:p>
    <w:p>
      <w:r>
        <w:rPr>
          <w:color w:val="555555"/>
          <w:sz w:val="17"/>
        </w:rPr>
        <w:t xml:space="preserve">Zitiervorschlag: § 2 LuftVGBV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https://recht.nulegal.eu/gesetze/luftvgbv--2019/2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