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LuftVGBV — Beleihung</w:t>
      </w:r>
    </w:p>
    <w:p>
      <w:r>
        <w:rPr>
          <w:color w:val="555555"/>
          <w:sz w:val="18"/>
        </w:rPr>
        <w:t xml:space="preserve">LuftVG-Beleihungsverordnung</w:t>
      </w:r>
    </w:p>
    <w:p>
      <w:r>
        <w:rPr>
          <w:color w:val="555555"/>
          <w:sz w:val="18"/>
        </w:rPr>
        <w:t xml:space="preserve">Historische Fassung: Stand 17.10.2019 bis 01.11.2024. Dies ist nicht die aktuelle Fassung.</w:t>
      </w:r>
    </w:p>
    <w:p>
      <w:r>
        <w:t xml:space="preserve">Die Beleihung juristischer Personen des privaten Rechts mit der Wahrnehmung der in § 30a Absatz 1 Satz 1 des Luftverkehrsgesetzes angeführten Aufgaben erfolgt durch Verwaltungsakt des Luftfahrtamtes der Bundeswehr.</w:t>
      </w:r>
    </w:p>
    <w:p>
      <w:r>
        <w:rPr>
          <w:color w:val="555555"/>
          <w:sz w:val="17"/>
        </w:rPr>
        <w:t xml:space="preserve">Zitiervorschlag: § 1 LuftVGBV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https://recht.nulegal.eu/gesetze/luftvgbv--2019/1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