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LSV</w:t>
      </w:r>
    </w:p>
    <w:p>
      <w:r>
        <w:rPr>
          <w:color w:val="555555"/>
          <w:sz w:val="18"/>
        </w:rPr>
        <w:t xml:space="preserve">Ladesäulenverordnung</w:t>
      </w:r>
    </w:p>
    <w:p>
      <w:r>
        <w:rPr>
          <w:color w:val="555555"/>
          <w:sz w:val="18"/>
        </w:rPr>
        <w:t xml:space="preserve">Historische Fassung: Stand 30.06.2023 bis 01.01.2026.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LSV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https://recht.nulegal.eu/gesetze/lsv--2016/schlussformel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