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LSV — Übergangsregelungen</w:t>
      </w:r>
    </w:p>
    <w:p>
      <w:r>
        <w:rPr>
          <w:color w:val="555555"/>
          <w:sz w:val="18"/>
        </w:rPr>
        <w:t xml:space="preserve">Ladesäulenverordnung</w:t>
      </w:r>
    </w:p>
    <w:p>
      <w:r>
        <w:rPr>
          <w:color w:val="555555"/>
          <w:sz w:val="18"/>
        </w:rPr>
        <w:t xml:space="preserve">Historische Fassung: Stand 29.06.2023 bis 01.01.2026. Dies ist nicht die aktuelle Fassung.</w:t>
      </w:r>
    </w:p>
    <w:p>
      <w:r>
        <w:t xml:space="preserve">(1) Ladepunkte, die vor dem 17. Juni 2016 in Betrieb genommen worden sind, sind von den Anforderungen nach § 3 Absatz 1 bis 4 und § 4 ausgenommen.</w:t>
      </w:r>
    </w:p>
    <w:p>
      <w:r>
        <w:t xml:space="preserve">(2) Ladepunkte, die vor dem 14. Dezember 2017 in Betrieb genommen worden sind, sind von den Anforderungen nach § 3 Absatz 4 und § 4 ausgenommen.</w:t>
      </w:r>
    </w:p>
    <w:p>
      <w:r>
        <w:t xml:space="preserve">(3) Für Ladepunkte, die vor dem 1. März 2022 in Betrieb genommen worden sind, sind</w:t>
      </w:r>
    </w:p>
    <w:p>
      <w:pPr>
        <w:ind w:left="420"/>
      </w:pPr>
      <w:r>
        <w:t xml:space="preserve">1. § 3 Absatz 4 nicht anzuwenden,</w:t>
      </w:r>
    </w:p>
    <w:p>
      <w:pPr>
        <w:ind w:left="420"/>
      </w:pPr>
      <w:r>
        <w:t xml:space="preserve">2. § 4 in der am 23. Juni 2023 geltenden Fassung weiter anzuwenden.</w:t>
      </w:r>
    </w:p>
    <w:p>
      <w:r>
        <w:t xml:space="preserve">(4) Für Ladepunkte, die vor dem 1. Juli 2024 in Betrieb genommen worden sind, ist § 4 in der am 23. Juni 2023 geltenden Fassung weiter anzuwenden.</w:t>
      </w:r>
    </w:p>
    <w:p>
      <w:r>
        <w:rPr>
          <w:color w:val="555555"/>
          <w:sz w:val="17"/>
        </w:rPr>
        <w:t xml:space="preserve">Zitiervorschlag: § 8 LSV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https://recht.nulegal.eu/gesetze/lsv--2016/8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