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LSV — Kompetenzen der Regulierungsbehörde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01.01.2022 bis 01.01.2026. Dies ist nicht die aktuelle Fassung.</w:t>
      </w:r>
    </w:p>
    <w:p>
      <w:r>
        <w:t xml:space="preserve">(1) Die Regulierungsbehörde kann die Einhaltung der technischen Anforderungen nach § 3 Absatz 1 bis 5 und der Anforderungen nach § 4 regelmäßig überprüfen.</w:t>
      </w:r>
    </w:p>
    <w:p>
      <w:r>
        <w:t xml:space="preserve">(2) Die Regulierungsbehörde kann verlangen, dass ein Ladepunkt nachgerüstet wird, wenn eine technische Anforderung nach § 3 Absatz 1 bis 5 oder eine Anforderung nach § 4 nicht eingehalten wird.</w:t>
      </w:r>
    </w:p>
    <w:p>
      <w:r>
        <w:t xml:space="preserve">(3) Die Regulierungsbehörde kann den Betrieb eines Ladepunkts untersagen, wenn eine technische Anforderung nach § 3 Absatz 1 bis 5 oder eine Anforderung nach § 4 nicht eingehalten wird oder die Einhaltung der Anzeige- und Nachweispflichten nach § 5 nicht nachgewiesen wird.</w:t>
      </w:r>
    </w:p>
    <w:p>
      <w:r>
        <w:rPr>
          <w:color w:val="555555"/>
          <w:sz w:val="17"/>
        </w:rPr>
        <w:t xml:space="preserve">Zitiervorschlag: § 6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