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LSV — Anzeige- und Nachweispflichten</w:t>
      </w:r>
    </w:p>
    <w:p>
      <w:r>
        <w:rPr>
          <w:color w:val="555555"/>
          <w:sz w:val="18"/>
        </w:rPr>
        <w:t xml:space="preserve">Ladesäulenverordnung</w:t>
      </w:r>
    </w:p>
    <w:p>
      <w:r>
        <w:rPr>
          <w:color w:val="555555"/>
          <w:sz w:val="18"/>
        </w:rPr>
        <w:t xml:space="preserve">Historische Fassung: Stand 01.01.2022 bis 01.01.2026. Dies ist nicht die aktuelle Fassung.</w:t>
      </w:r>
    </w:p>
    <w:p>
      <w:r>
        <w:t xml:space="preserve">(1) Betreiber von Ladepunkten haben der Regulierungsbehörde die Inbetriebnahme und die Außerbetriebnahme von Ladepunkten elektronisch anzuzeigen. Die Regulierungsbehörde kann Vorgaben zu Art und Weise sowie zum Umfang der Anzeige machen. Stellt die Regulierungsbehörde Formularvorlagen bereit, sind diese zu benutzen und die ausgefüllten Formularvorlagen elektronisch zu übermitteln. Die Anzeige soll erfolgen:</w:t>
      </w:r>
    </w:p>
    <w:p>
      <w:pPr>
        <w:ind w:left="420"/>
      </w:pPr>
      <w:r>
        <w:t xml:space="preserve">1. spätestens zwei Wochen nach Inbetriebnahme von Ladepunkten oder</w:t>
      </w:r>
    </w:p>
    <w:p>
      <w:pPr>
        <w:ind w:left="420"/>
      </w:pPr>
      <w:r>
        <w:t xml:space="preserve">2. unverzüglich nach Außerbetriebnahme von Ladepunkten.</w:t>
      </w:r>
    </w:p>
    <w:p>
      <w:r>
        <w:t xml:space="preserve">(2) Betreiber von Schnellladepunkten haben der Regulierungsbehörde durch Beifügung geeigneter Unterlagen die Einhaltung der technischen Anforderungen nach § 3 Absatz 2 bis 5 nachzuweisen:</w:t>
      </w:r>
    </w:p>
    <w:p>
      <w:pPr>
        <w:ind w:left="420"/>
      </w:pPr>
      <w:r>
        <w:t xml:space="preserve">1. bei der Inbetriebnahme von Schnellladepunkten und</w:t>
      </w:r>
    </w:p>
    <w:p>
      <w:pPr>
        <w:ind w:left="420"/>
      </w:pPr>
      <w:r>
        <w:t xml:space="preserve">2. auf Anforderung der Regulierungsbehörde während des Betriebs von Schnellladepunkten.</w:t>
      </w:r>
    </w:p>
    <w:p>
      <w:r>
        <w:t xml:space="preserve">(3) Betreiber von Schnellladepunkten, welche vor Inkrafttreten dieser Verordnung in Betrieb genommen worden sind, haben der Regulierungsbehörde den Betrieb anzuzeigen und die Einhaltung der technischen Anforderungen nach § 3 Absatz 5 durch Beifügung geeigneter Unterlagen nachzuweisen.</w:t>
      </w:r>
    </w:p>
    <w:p>
      <w:r>
        <w:t xml:space="preserve">(4) Die Absätze 1 bis 3 sind entsprechend anzuwenden, wenn bestehende Ladepunkte öffentlich zugänglich im Sinne dieser Verordnung werden. Absatz 1 ist entsprechend beim Betreiberwechsel von Ladepunkten anzuwenden.</w:t>
      </w:r>
    </w:p>
    <w:p>
      <w:r>
        <w:rPr>
          <w:color w:val="555555"/>
          <w:sz w:val="17"/>
        </w:rPr>
        <w:t xml:space="preserve">Zitiervorschlag: § 5 LSV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https://recht.nulegal.eu/gesetze/lsv--2016/5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