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LSV — Technische Sicherheit und Interoperabilität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25.06.2023 bis 01.01.2026. Dies ist nicht die aktuelle Fassung.</w:t>
      </w:r>
    </w:p>
    <w:p>
      <w:r>
        <w:t xml:space="preserve">(1) Beim Aufbau von Normalladepunkten, an denen das Wechselstromladen möglich ist, muss aus Gründen der Interoperabilität jeder Ladepunkt mindestens mit einer Steckdose oder Kupplung des Typs 2 nach der Norm DIN EN 62196-2, Ausgabe Dezember 2014, ausgerüstet werden.</w:t>
      </w:r>
    </w:p>
    <w:p>
      <w:r>
        <w:t xml:space="preserve">(2) Beim Aufbau von Schnellladepunkten, an denen das Wechselstromladen möglich ist, muss aus Gründen der Interoperabilität jeder Ladepunkt mindestens mit einer Kupplung des Typs 2 nach der Norm DIN EN 62196-2, Ausgabe November 2017, ausgerüstet werden.</w:t>
      </w:r>
    </w:p>
    <w:p>
      <w:r>
        <w:t xml:space="preserve">(3) Beim Aufbau von Ladepunkten, an denen das Gleichstromladen möglich ist, muss aus Gründen der Interoperabilität jeder Ladepunkt mindestens mit einer Kupplung des Typs Combo 2 nach der Norm DIN EN 62196-3, Ausgabe Mai 2015, ausgerüstet werden.</w:t>
      </w:r>
    </w:p>
    <w:p>
      <w:r>
        <w:t xml:space="preserve">(4) Beim Aufbau von Ladepunkten muss sichergestellt werden, dass eine standardisierte Schnittstelle vorhanden ist, mithilfe derer Autorisierungs- und Abrechnungsdaten sowie dynamische Daten zur Betriebsbereitschaft und zum Belegungsstatus übermittelt werden können.</w:t>
      </w:r>
    </w:p>
    <w:p>
      <w:r>
        <w:t xml:space="preserve">(5) Sonstige geltende technische Anforderungen, insbesondere Anforderungen an die technische Sicherheit von Energieanlagen nach § 49 Absatz 1 des Energiewirtschaftsgesetzes vom 7. Juli 2005 (BGBl. I S. 1970, 3621), das zuletzt durch Artikel 84 des Gesetzes vom 10. August 2021 (BGBl. I S. 3436) geändert worden ist, bleiben unberührt. § 49 Absatz 2 Satz 1 Nummer 1 des Energiewirtschaftsgesetzes ist entsprechend anzuwenden.</w:t>
      </w:r>
    </w:p>
    <w:p>
      <w:r>
        <w:t xml:space="preserve">(6) Die Absätze 1 bis 3 sind nicht für kabellos und induktiv betriebene Ladepunkte anzuwenden.</w:t>
      </w:r>
    </w:p>
    <w:p>
      <w:r>
        <w:t xml:space="preserve">(7) Die in den Absätzen 1 bis 3 genannten DIN EN-Normen sind im Beuth Verlag GmbH, Berlin, erschienen und in der Deutschen Nationalbibliothek archivmäßig gesichert hinterlegt.</w:t>
      </w:r>
    </w:p>
    <w:p>
      <w:r>
        <w:rPr>
          <w:color w:val="555555"/>
          <w:sz w:val="17"/>
        </w:rPr>
        <w:t xml:space="preserve">Zitiervorschlag: § 3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