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LSV — Anwendungsbereich</w:t>
      </w:r>
    </w:p>
    <w:p>
      <w:r>
        <w:rPr>
          <w:color w:val="555555"/>
          <w:sz w:val="18"/>
        </w:rPr>
        <w:t xml:space="preserve">Ladesäulenverordnung</w:t>
      </w:r>
    </w:p>
    <w:p>
      <w:r>
        <w:rPr>
          <w:color w:val="555555"/>
          <w:sz w:val="18"/>
        </w:rPr>
        <w:t xml:space="preserve">Historische Fassung: Stand 01.01.2022 bis 01.01.2026. Dies ist nicht die aktuelle Fassung.</w:t>
      </w:r>
    </w:p>
    <w:p>
      <w:r>
        <w:t xml:space="preserve">Diese Verordnung regelt die technischen Mindestanforderungen an den sicheren und interoperablen Aufbau und Betrieb von öffentlich zugänglichen Ladepunkten für elektrisch betriebene Fahrzeuge der Klassen N und M im Sinne von Artikel 4 Absatz 1 Buchstabe a und b der Verordnung (EU)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(ABl. L 151 vom 14.6.2018, S. 1) sowie weitere Aspekte des Betriebes von Ladepunkten wie Authentifizierung, Nutzung und Bezahlung entsprechend der Umsetzungsfrist der Richtlinie 2014/94/EU des Europäischen Parlaments und des Rates vom 22. Oktober 2014 über den Aufbau der Infrastruktur für alternative Kraftstoffe (ABl. L 307 vom 28.10.2014, S. 1).</w:t>
      </w:r>
    </w:p>
    <w:p>
      <w:r>
        <w:rPr>
          <w:color w:val="555555"/>
          <w:sz w:val="17"/>
        </w:rPr>
        <w:t xml:space="preserve">Zitiervorschlag: § 1 LSV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https://recht.nulegal.eu/gesetze/lsv--2016/1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