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LFZ/KVRÄndG — Verweisungen</w:t>
      </w:r>
    </w:p>
    <w:p>
      <w:r>
        <w:rPr>
          <w:color w:val="555555"/>
          <w:sz w:val="18"/>
        </w:rPr>
        <w:t xml:space="preserve">Gesetz über die Fortzahlung des Arbeitsentgelts im Krankheitsfall und über Änderungen des Rechts der gesetzlichen Krankenversicherung</w:t>
      </w:r>
    </w:p>
    <w:p>
      <w:r>
        <w:rPr>
          <w:color w:val="555555"/>
          <w:sz w:val="18"/>
        </w:rPr>
        <w:t xml:space="preserve">Stand: 10.06.2019 (konsolidierte Textfassung, kein amtliches Inkrafttretensdatum)</w:t>
      </w:r>
    </w:p>
    <w:p>
      <w:r>
        <w:t xml:space="preserve">Soweit in anderen Bestimmungen auf Vorschriften verwiesen wird oder Bezeichnungen verwendet werden, die durch dieses Gesetz aufgehoben oder geändert werden, treten an ihre Stelle die entsprechenden Vorschriften oder Bezeichnungen dieses Gesetzes.</w:t>
      </w:r>
    </w:p>
    <w:p>
      <w:r>
        <w:rPr>
          <w:color w:val="555555"/>
          <w:sz w:val="17"/>
        </w:rPr>
        <w:t xml:space="preserve">Zitiervorschlag: § 7 LFZ/KVRÄndG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https://recht.nulegal.eu/gesetze/lfz_kvr_ndg/7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