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LFZ/KVRÄndG — Abweichende Vereinbarungen</w:t>
      </w:r>
    </w:p>
    <w:p>
      <w:r>
        <w:rPr>
          <w:color w:val="555555"/>
          <w:sz w:val="18"/>
        </w:rPr>
        <w:t xml:space="preserve">Gesetz über die Fortzahlung des Arbeitsentgelts im Krankheitsfall und über Änderungen des Rechts der gesetzlichen Krankenversicherung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Im Zeitpunkt des Inkrafttretens dieses Gesetzes bestehende, von seinen Vorschriften abweichende Vereinbarungen bleiben unberührt, soweit sie nach § 2 Abs. 3 und § 9 des Lohnfortzahlungsgesetzes zulässig sind.</w:t>
      </w:r>
    </w:p>
    <w:p>
      <w:r>
        <w:rPr>
          <w:color w:val="555555"/>
          <w:sz w:val="17"/>
        </w:rPr>
        <w:t xml:space="preserve">Zitiervorschlag: § 2 LFZ/KVRÄndG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https://recht.nulegal.eu/gesetze/lfz_kvr_ndg/2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