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KugZuV</w:t>
      </w:r>
    </w:p>
    <w:p>
      <w:r>
        <w:rPr>
          <w:color w:val="555555"/>
          <w:sz w:val="18"/>
        </w:rPr>
        <w:t xml:space="preserve">Kurzarbeitergeldzugangsverordnung</w:t>
      </w:r>
    </w:p>
    <w:p>
      <w:r>
        <w:rPr>
          <w:color w:val="555555"/>
          <w:sz w:val="18"/>
        </w:rPr>
        <w:t xml:space="preserve">Historische Fassung: Stand 01.10.2022 bis 01.01.2023. Dies ist nicht die aktuelle Fassung.</w:t>
      </w:r>
    </w:p>
    <w:p>
      <w:r>
        <w:t xml:space="preserve">Auf Grund des § 421c Absatz 5 des Dritten Buches Sozialgesetzbuch – Arbeitsförderung –, der durch Artikel 1 Nummer 4 des Gesetzes vom 23. März 2022 (BGBl. I S. 482) eingefügt worden ist, verordnet die Bundesregierung:</w:t>
      </w:r>
    </w:p>
    <w:p>
      <w:r>
        <w:rPr>
          <w:color w:val="555555"/>
          <w:sz w:val="17"/>
        </w:rPr>
        <w:t xml:space="preserve">Zitiervorschlag: Eingangsformel KugZuV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https://recht.nulegal.eu/gesetze/kugzuv--2022/eingangsformel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