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KryptoWTransferV</w:t>
      </w:r>
    </w:p>
    <w:p>
      <w:r>
        <w:rPr>
          <w:color w:val="555555"/>
          <w:sz w:val="18"/>
        </w:rPr>
        <w:t xml:space="preserve">Kryptowertetransferverordnung</w:t>
      </w:r>
    </w:p>
    <w:p>
      <w:r>
        <w:rPr>
          <w:color w:val="555555"/>
          <w:sz w:val="18"/>
        </w:rPr>
        <w:t xml:space="preserve">Historische Fassung: Stand 01.10.2021 bis 25.06.2023. Dies ist nicht die aktuelle Fassung.</w:t>
      </w:r>
    </w:p>
    <w:p>
      <w:r>
        <w:t xml:space="preserve">Auf Grund des § 15 Absatz 10 Satz 1 Nummer 1 des Geldwäschegesetzes vom 23. Juni 2017 (BGBl. I S. 1822), der durch Artikel 1 Nummer 14 Buchstabe h des Gesetzes vom 12. Dezember 2019 (BGBl. I S. 2602) neu gefasst worden ist, verordnet das Bundesministerium der Finanzen:</w:t>
      </w:r>
    </w:p>
    <w:p>
      <w:r>
        <w:rPr>
          <w:color w:val="555555"/>
          <w:sz w:val="17"/>
        </w:rPr>
        <w:t xml:space="preserve">Zitiervorschlag: Eingangsformel KryptoWTransferV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https://recht.nulegal.eu/gesetze/kryptowtransferv--2021/eingangsformel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