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KryptoWTransferV — Inkrafttreten, Außerkrafttreten</w:t>
      </w:r>
    </w:p>
    <w:p>
      <w:r>
        <w:rPr>
          <w:color w:val="555555"/>
          <w:sz w:val="18"/>
        </w:rPr>
        <w:t xml:space="preserve">Kryptowertetransferverordnung</w:t>
      </w:r>
    </w:p>
    <w:p>
      <w:r>
        <w:rPr>
          <w:color w:val="555555"/>
          <w:sz w:val="18"/>
        </w:rPr>
        <w:t xml:space="preserve">Historische Fassung: Stand 01.10.2021 bis 25.06.2023. Dies ist nicht die aktuelle Fassung.</w:t>
      </w:r>
    </w:p>
    <w:p>
      <w:r>
        <w:t xml:space="preserve">(1) Diese Verordnung tritt am 1. Oktober 2021 in Kraft.</w:t>
      </w:r>
    </w:p>
    <w:p>
      <w:r>
        <w:t xml:space="preserve">(2) Diese Verordnung tritt mit dem Inkrafttreten der Neufassung der Verordnung (EU) 2015/847 außer Kraft. Der Tag des Außerkrafttretens ist vom Bundesministerium der Finanzen im Bundesgesetzblatt bekannt zu geben.</w:t>
      </w:r>
    </w:p>
    <w:p>
      <w:r>
        <w:rPr>
          <w:color w:val="555555"/>
          <w:sz w:val="17"/>
        </w:rPr>
        <w:t xml:space="preserve">Zitiervorschlag: § 7 KryptoWTransferV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https://recht.nulegal.eu/gesetze/kryptowtransferv--2021/7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