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KryptoWTransferV — Pflicht zur Erhebung und Speicherung von Daten bei Transfers, an denen nicht ausschließlich Kryptowertedienstleister beteiligt sind</w:t>
      </w:r>
    </w:p>
    <w:p>
      <w:r>
        <w:rPr>
          <w:color w:val="555555"/>
          <w:sz w:val="18"/>
        </w:rPr>
        <w:t xml:space="preserve">Kryptowertetransferverordnung</w:t>
      </w:r>
    </w:p>
    <w:p>
      <w:r>
        <w:rPr>
          <w:color w:val="555555"/>
          <w:sz w:val="18"/>
        </w:rPr>
        <w:t xml:space="preserve">Historische Fassung: Stand 01.10.2021 bis 25.06.2023. Dies ist nicht die aktuelle Fassung.</w:t>
      </w:r>
    </w:p>
    <w:p>
      <w:r>
        <w:t xml:space="preserve">(1) Verpflichtete, die für den Auftraggeber einen Transfer vornehmen, ohne dass für den Begünstigten dieses Transfers ein Kryptowertedienstleister handelt, haben das mit dem Transfer verbundene Risiko des Missbrauchs zum Zwecke der Geldwäsche und Terrorismusfinanzierung zu ermitteln und zu bewerten sowie risikoangemessene Maßnahmen zu treffen, um die Risiken von Geldwäsche und Terrorismusfinanzierung zu steuern und zu mindern.</w:t>
      </w:r>
    </w:p>
    <w:p>
      <w:r>
        <w:t xml:space="preserve">(2) Verpflichtete, die für den Begünstigten einen Transfer entgegennehmen, ohne dass für den Auftraggeber dieses Transfers ein Kryptowertedienstleister handelt, haben das mit dem Transfer verbundene Risiko des Missbrauchs zum Zwecke der Geldwäsche und Terrorismusfinanzierung zu ermitteln und zu bewerten sowie risikoangemessene Maßnahmen zu treffen, um die Risiken von Geldwäsche und Terrorismusfinanzierung zu steuern und zu mindern.</w:t>
      </w:r>
    </w:p>
    <w:p>
      <w:r>
        <w:t xml:space="preserve">(3) Risikoangemessene Maßnahmen im Sinne der Absätze 1 und 2 sind Maßnahmen, die dem ermittelten Risiko des Transfers in Bezug auf Geldwäsche und Terrorismusfinanzierung entsprechen und die die Nachvollziehbarkeit des Transfers gewährleisten. Risikoangemessen ist insbesondere die Maßnahme der Erhebung, Speicherung und Überprüfung von Name und Anschrift des Begünstigten oder des Auftraggebers, für den kein Kryptowertedienstleister bei dem Transfer handelt und der nicht Vertragspartner des Verpflichteten ist.</w:t>
      </w:r>
    </w:p>
    <w:p>
      <w:r>
        <w:t xml:space="preserve">(4) Die Absätze 1 bis 3 gelten entsprechend hinsichtlich des wirtschaftlich Berechtigten, sofern dieser nicht mit dem Auftraggeber oder Begünstigten identisch ist.</w:t>
      </w:r>
    </w:p>
    <w:p>
      <w:r>
        <w:rPr>
          <w:color w:val="555555"/>
          <w:sz w:val="17"/>
        </w:rPr>
        <w:t xml:space="preserve">Zitiervorschlag: § 4 KryptoWTransferV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https://recht.nulegal.eu/gesetze/kryptowtransferv--2021/4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