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KryptoWTransferV — Pflicht zur Erhebung, Speicherung und Übermittlung von Daten bei Transfers zwischen Kryptowertedienstleistern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01.10.2021 bis 25.06.2023. Dies ist nicht die aktuelle Fassung.</w:t>
      </w:r>
    </w:p>
    <w:p>
      <w:r>
        <w:t xml:space="preserve">(1) Für Verpflichtete, die einen Transfer für den Auftraggeber vornehmen, finden die Vorschriften für Pflichten des Zahlungsdienstleisters des Auftraggebers nach den Artikeln 4 und 6 der Geldtransferverordnung entsprechend Anwendung, wenn an dem Transfer für den Auftraggeber und den Begünstigten ausschließlich Kryptowertedienstleister beteiligt sind.</w:t>
      </w:r>
    </w:p>
    <w:p>
      <w:r>
        <w:t xml:space="preserve">(2) Für Verpflichtete, die einen Transfer für den Begünstigten entgegennehmen, finden die Vorschriften für Pflichten des Zahlungsdienstleisters des Begünstigten nach den Artikeln 7, 8 und 9 der Geldtransferverordnung entsprechend Anwendung, wenn an dem Transfer für den Auftraggeber und den Begünstigten ausschließlich Kryptowertedienstleister beteiligt sind.</w:t>
      </w:r>
    </w:p>
    <w:p>
      <w:r>
        <w:rPr>
          <w:color w:val="555555"/>
          <w:sz w:val="17"/>
        </w:rPr>
        <w:t xml:space="preserve">Zitiervorschlag: § 3 KryptoWTransferV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https://recht.nulegal.eu/gesetze/kryptowtransferv--2021/3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