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KryptoWTransferV — Regelungsbereich</w:t>
      </w:r>
    </w:p>
    <w:p>
      <w:r>
        <w:rPr>
          <w:color w:val="555555"/>
          <w:sz w:val="18"/>
        </w:rPr>
        <w:t xml:space="preserve">Kryptowertetransferverordnung</w:t>
      </w:r>
    </w:p>
    <w:p>
      <w:r>
        <w:rPr>
          <w:color w:val="555555"/>
          <w:sz w:val="18"/>
        </w:rPr>
        <w:t xml:space="preserve">Historische Fassung: Stand 01.10.2021 bis 25.06.2023. Dies ist nicht die aktuelle Fassung.</w:t>
      </w:r>
    </w:p>
    <w:p>
      <w:r>
        <w:t xml:space="preserve">Diese Verordnung regelt verstärkte Sorgfaltspflichten für Verpflichtete nach § 2 Absatz 1 Nummer 1 und 2 des Geldwäschegesetzes, die Transfers von Kryptowerten im Sinne von § 1 Absatz 29 des Geldwäschegesetzes durchführen.</w:t>
      </w:r>
    </w:p>
    <w:p>
      <w:r>
        <w:rPr>
          <w:color w:val="555555"/>
          <w:sz w:val="17"/>
        </w:rPr>
        <w:t xml:space="preserve">Zitiervorschlag: § 1 KryptoWTransferV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https://recht.nulegal.eu/gesetze/kryptowtransferv--2021/1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