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KlaCbMstrV — Weitere Anforderungen</w:t>
      </w:r>
    </w:p>
    <w:p>
      <w:r>
        <w:rPr>
          <w:color w:val="555555"/>
          <w:sz w:val="18"/>
        </w:rPr>
        <w:t xml:space="preserve">Klavier- und Cembalobauermeisterverordnung</w:t>
      </w:r>
    </w:p>
    <w:p>
      <w:r>
        <w:rPr>
          <w:color w:val="555555"/>
          <w:sz w:val="18"/>
        </w:rPr>
        <w:t xml:space="preserve">Historische Fassung: Stand 10.06.2019 bis 05.04.2020. Dies ist nicht die aktuelle Fassung.</w:t>
      </w:r>
    </w:p>
    <w:p>
      <w:r>
        <w:t xml:space="preserve">Die weiteren Anforderungen in der Meisterprüfung bestimmen sich nach der Verordnung über gemeinsame Anforderungen in der Meisterprüfung im Handwerk vom 12. Dezember 1972 (BGBl. I S. 2381) in der jeweils geltenden Fassung.</w:t>
      </w:r>
    </w:p>
    <w:p>
      <w:r>
        <w:rPr>
          <w:color w:val="555555"/>
          <w:sz w:val="17"/>
        </w:rPr>
        <w:t xml:space="preserve">Zitiervorschlag: § 7 KlaCbMstrV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https://recht.nulegal.eu/gesetze/klacbmstrv--1997/7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