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KlaCbMstrV — Arbeitsprobe</w:t>
      </w:r>
    </w:p>
    <w:p>
      <w:r>
        <w:rPr>
          <w:color w:val="555555"/>
          <w:sz w:val="18"/>
        </w:rPr>
        <w:t xml:space="preserve">Klavier- und Cembalobauermeisterverordnung</w:t>
      </w:r>
    </w:p>
    <w:p>
      <w:r>
        <w:rPr>
          <w:color w:val="555555"/>
          <w:sz w:val="18"/>
        </w:rPr>
        <w:t xml:space="preserve">Historische Fassung: Stand 10.06.2019 bis 05.04.2020. Dies ist nicht die aktuelle Fassung.</w:t>
      </w:r>
    </w:p>
    <w:p>
      <w:r>
        <w:t xml:space="preserve">(1) Als Arbeitsprobe sind sechs der nachstehend genannten Arbeiten, davon in jedem Fall die nach Nummer 1, auszuführen:</w:t>
      </w:r>
    </w:p>
    <w:p>
      <w:pPr>
        <w:ind w:left="420"/>
      </w:pPr>
      <w:r>
        <w:t xml:space="preserve">1. Zeichnen und Anfertigen eines Instrumententeils,</w:t>
      </w:r>
    </w:p>
    <w:p>
      <w:pPr>
        <w:ind w:left="420"/>
      </w:pPr>
      <w:r>
        <w:t xml:space="preserve">2. Fügen, Verleimen und Aushobeln eines Resonanzbodenteiles,</w:t>
      </w:r>
    </w:p>
    <w:p>
      <w:pPr>
        <w:ind w:left="420"/>
      </w:pPr>
      <w:r>
        <w:t xml:space="preserve">3. Aushobeln, Aufleimen und Abstechen von Rippen,</w:t>
      </w:r>
    </w:p>
    <w:p>
      <w:pPr>
        <w:ind w:left="420"/>
      </w:pPr>
      <w:r>
        <w:t xml:space="preserve">4. Schiften, Anreißen, Bohren, Abstechen und Bestiften eines Stegteils,</w:t>
      </w:r>
    </w:p>
    <w:p>
      <w:pPr>
        <w:ind w:left="420"/>
      </w:pPr>
      <w:r>
        <w:t xml:space="preserve">5. Berechnen, Spinnen und Aufziehen von Baßsaiten,</w:t>
      </w:r>
    </w:p>
    <w:p>
      <w:pPr>
        <w:ind w:left="420"/>
      </w:pPr>
      <w:r>
        <w:t xml:space="preserve">6. Tuchen und Achsen von Mechanikgliedern,</w:t>
      </w:r>
    </w:p>
    <w:p>
      <w:pPr>
        <w:ind w:left="420"/>
      </w:pPr>
      <w:r>
        <w:t xml:space="preserve">7. Erneuern eines Untertastenbelages,</w:t>
      </w:r>
    </w:p>
    <w:p>
      <w:pPr>
        <w:ind w:left="420"/>
      </w:pPr>
      <w:r>
        <w:t xml:space="preserve">8. Erneuern eines Tastenbodens,</w:t>
      </w:r>
    </w:p>
    <w:p>
      <w:pPr>
        <w:ind w:left="420"/>
      </w:pPr>
      <w:r>
        <w:t xml:space="preserve">9. Durchführen einer Furnierarbeit,</w:t>
      </w:r>
    </w:p>
    <w:p>
      <w:pPr>
        <w:ind w:left="420"/>
      </w:pPr>
      <w:r>
        <w:t xml:space="preserve">10. manuelles Bearbeiten von Oberflächen, insbesondere mit Pinsel, Ballen und Spritzpistole,</w:t>
      </w:r>
    </w:p>
    <w:p>
      <w:pPr>
        <w:ind w:left="420"/>
      </w:pPr>
      <w:r>
        <w:t xml:space="preserve">11. Beziehen eines historischen und eines modernen Tasteninstrumentes,</w:t>
      </w:r>
    </w:p>
    <w:p>
      <w:pPr>
        <w:ind w:left="420"/>
      </w:pPr>
      <w:r>
        <w:t xml:space="preserve">12. Erneuern von Pedalschalen,</w:t>
      </w:r>
    </w:p>
    <w:p>
      <w:pPr>
        <w:ind w:left="420"/>
      </w:pPr>
      <w:r>
        <w:t xml:space="preserve">13. Anfertigen einer Holzverbindung.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KlaCbMstrV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https://recht.nulegal.eu/gesetze/klacbmstrv--1997/4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