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KfzTechMstrV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Auf Grund des § 45 der Handwerksordnung in der Fassung der Bekanntmachung vom 24. September 1998 (BGBl. I S. 3074) in Verbindung mit Artikel 56 Abs. 1 des Zuständigkeitsanpassungs-Gesetzes vom 18. März 1975 (BGBl. I S. 705) und dem Organisationserlass vom 27. Oktober 1998 (BGBl. I S. 3288)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KfzTechMstrV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https://recht.nulegal.eu/gesetze/kfztechmstrv--2000/eingangsformel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