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KfzTechMstrV — Übergangsvorschrift</w:t>
      </w:r>
    </w:p>
    <w:p>
      <w:r>
        <w:rPr>
          <w:color w:val="555555"/>
          <w:sz w:val="18"/>
        </w:rPr>
        <w:t xml:space="preserve">Kraftfahrzeugtechnikermeisterverordnung</w:t>
      </w:r>
    </w:p>
    <w:p>
      <w:r>
        <w:rPr>
          <w:color w:val="555555"/>
          <w:sz w:val="18"/>
        </w:rPr>
        <w:t xml:space="preserve">Historische Fassung: Stand 10.06.2019 bis 01.07.2020. Dies ist nicht die aktuelle Fassung.</w:t>
      </w:r>
    </w:p>
    <w:p>
      <w:r>
        <w:t xml:space="preserve">Die Regelungen des § 6 Absatz 5 und 6 gelten nicht für die bis zum 31. Dezember 2011 begonnenen Prüfungsverfahren. Diese werden nach den bisherigen Vorschriften zu Ende geführt.</w:t>
      </w:r>
    </w:p>
    <w:p>
      <w:r>
        <w:rPr>
          <w:color w:val="555555"/>
          <w:sz w:val="17"/>
        </w:rPr>
        <w:t xml:space="preserve">Zitiervorschlag: § 7 KfzTechMstrV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https://recht.nulegal.eu/gesetze/kfztechmstrv--2000/7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