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KfzTechMstrV — Gliederung, Prüfungsdauer und Bestehen des Teils I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(1) Der Teil I der Meisterprüfung umfasst als Prüfungsbereich eine Situationsaufgabe und ein darauf bezogenes Fachgespräch.</w:t>
      </w:r>
    </w:p>
    <w:p>
      <w:r>
        <w:t xml:space="preserve">(2) Die Ausführung der Situationsaufgabe soll 6,5 Stunden nicht überschreiten, das Fachgespräch soll nicht länger als 30 Minuten dauern.</w:t>
      </w:r>
    </w:p>
    <w:p>
      <w:r>
        <w:t xml:space="preserve">(3) Die Situationsaufgabe und das Fachgespräch sind gesondert zu bewerten. Die Prüfungsleistungen in der Situationsaufgabe und im Fachgespräch sind im Verhältnis 2:1 zu gewichten. Hieraus ist eine Gesamtbewertung zu bilden. Mindestvoraussetzung für das Bestehen des Teils I der Meisterprüfung ist eine insgesamt ausreichende Prüfungsleistung, wobei die Prüfung weder bei der Situationsaufgabe noch beim Fachgespräch mit weniger als 30 Punkten bewertet worden sein darf.</w:t>
      </w:r>
    </w:p>
    <w:p>
      <w:r>
        <w:rPr>
          <w:color w:val="555555"/>
          <w:sz w:val="17"/>
        </w:rPr>
        <w:t xml:space="preserve">Zitiervorschlag: § 3 KfzTechMstrV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https://recht.nulegal.eu/gesetze/kfztechmstrv--2000/3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