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KAGG/GewOErgG</w:t>
      </w:r>
    </w:p>
    <w:p>
      <w:r>
        <w:rPr>
          <w:color w:val="555555"/>
          <w:sz w:val="18"/>
        </w:rPr>
        <w:t xml:space="preserve">Gesetz zur Änderung und Ergänzung des Gesetzes über Kapitalanlagegesellschaften und der 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Aufwendungen in Geld für den Erwerb von Anteilscheinen, die von Kapitalgesellschaften im Sinne des § 1 ausgegeben werden, gelten als Sparbeiträge im Sinne des Spar-Prämiengesetzes.</w:t>
      </w:r>
    </w:p>
    <w:p>
      <w:r>
        <w:t xml:space="preserve">(2) Absatz 1 ist auf Aufwendungen, die nach dem 31. Oktober 1969 gemacht werden, anzuwenden.</w:t>
      </w:r>
    </w:p>
    <w:p>
      <w:r>
        <w:rPr>
          <w:color w:val="555555"/>
          <w:sz w:val="17"/>
        </w:rPr>
        <w:t xml:space="preserve">Zitiervorschlag: § 4 KAGG/GewOErgG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https://recht.nulegal.eu/gesetze/kagg_gewoergg/4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KAGG/GewOErgG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