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KAGG/GewOErgG</w:t>
      </w:r>
    </w:p>
    <w:p>
      <w:r>
        <w:rPr>
          <w:color w:val="555555"/>
          <w:sz w:val="18"/>
        </w:rPr>
        <w:t xml:space="preserve">Gesetz zur Änderung und Ergänzung des Gesetzes über Kapitalanlagegesellschaften und der Gewerbeordnung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Geschäfte, die der Anpassung der Rechtsverhältnisse einer Kapitalgesellschaft an die in § 1 Abs. 2 Satz 2 genannten Vorschriften dienen, einschließlich der Berichtigung der öffentlichen Bücher, sind von den in der Kostenordnung bestimmten Gebühren befreit.</w:t>
      </w:r>
    </w:p>
    <w:p>
      <w:r>
        <w:rPr>
          <w:color w:val="555555"/>
          <w:sz w:val="17"/>
        </w:rPr>
        <w:t xml:space="preserve">Zitiervorschlag: § 3 KAGG/GewOErgG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https://recht.nulegal.eu/gesetze/kagg_gewoergg/3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