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IVSG — Inkrafttreten</w:t>
      </w:r>
    </w:p>
    <w:p>
      <w:r>
        <w:rPr>
          <w:color w:val="555555"/>
          <w:sz w:val="18"/>
        </w:rPr>
        <w:t xml:space="preserve">Intelligente Verkehrssysteme Gesetz</w:t>
      </w:r>
    </w:p>
    <w:p>
      <w:r>
        <w:rPr>
          <w:color w:val="555555"/>
          <w:sz w:val="18"/>
        </w:rPr>
        <w:t xml:space="preserve">Historische Fassung: Stand 10.06.2019 bis 21.05.2026. Dies ist nicht die aktuelle Fassung.</w:t>
      </w:r>
    </w:p>
    <w:p>
      <w:r>
        <w:t xml:space="preserve">Dieses Gesetz tritt am Tag nach der Verkündung in Kraft.</w:t>
      </w:r>
    </w:p>
    <w:p>
      <w:r>
        <w:rPr>
          <w:color w:val="555555"/>
          <w:sz w:val="17"/>
        </w:rPr>
        <w:t xml:space="preserve">Zitiervorschlag: § 9 IVSG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https://recht.nulegal.eu/gesetze/ivsg--2013/9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