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IVSG — Rechtsverordnungsermächtigung</w:t>
      </w:r>
    </w:p>
    <w:p>
      <w:r>
        <w:rPr>
          <w:color w:val="555555"/>
          <w:sz w:val="18"/>
        </w:rPr>
        <w:t xml:space="preserve">Intelligente Verkehrssysteme Gesetz</w:t>
      </w:r>
    </w:p>
    <w:p>
      <w:r>
        <w:rPr>
          <w:color w:val="555555"/>
          <w:sz w:val="18"/>
        </w:rPr>
        <w:t xml:space="preserve">Historische Fassung: Stand 10.06.2019 bis 21.05.2026. Dies ist nicht die aktuelle Fassung.</w:t>
      </w:r>
    </w:p>
    <w:p>
      <w:r>
        <w:t xml:space="preserve">Das Bundesministerium für Verkehr und digitale Infrastruktur wird ermächtigt, unter Berücksichtigung des Artikels 10 der Richtlinie 2010/40/EU durch Rechtsverordnung mit Zustimmung des Bundesrates die Anforderungen an Intelligente Verkehrssysteme in den Bereichen nach § 4 unter Berücksichtigung der Anforderungen nach Artikel 5 in Verbindung mit Anhang II der Richtlinie 2010/40/EU zu regeln.</w:t>
      </w:r>
    </w:p>
    <w:p>
      <w:r>
        <w:rPr>
          <w:color w:val="555555"/>
          <w:sz w:val="17"/>
        </w:rPr>
        <w:t xml:space="preserve">Zitiervorschlag: § 8 IVSG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https://recht.nulegal.eu/gesetze/ivsg--2013/8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