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IVSG — Nutzung der Nationalen Stelle durch andere Behörden</w:t>
      </w:r>
    </w:p>
    <w:p>
      <w:r>
        <w:rPr>
          <w:color w:val="555555"/>
          <w:sz w:val="18"/>
        </w:rPr>
        <w:t xml:space="preserve">Intelligente Verkehrssysteme Gesetz</w:t>
      </w:r>
    </w:p>
    <w:p>
      <w:r>
        <w:rPr>
          <w:color w:val="555555"/>
          <w:sz w:val="18"/>
        </w:rPr>
        <w:t xml:space="preserve">Historische Fassung: Stand 10.06.2019 bis 21.05.2026. Dies ist nicht die aktuelle Fassung.</w:t>
      </w:r>
    </w:p>
    <w:p>
      <w:r>
        <w:t xml:space="preserve">Die zuständigen Behörden der Länder können sich im Rahmen der landesrechtlichen Regelungsbefugnisse der zuständigen Behörde nach § 5 im Wege der Organleihe bedienen.</w:t>
      </w:r>
    </w:p>
    <w:p>
      <w:r>
        <w:rPr>
          <w:color w:val="555555"/>
          <w:sz w:val="17"/>
        </w:rPr>
        <w:t xml:space="preserve">Zitiervorschlag: § 7 IVSG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https://recht.nulegal.eu/gesetze/ivsg--2013/7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