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IVSG — Aufgabenübertragung</w:t>
      </w:r>
    </w:p>
    <w:p>
      <w:r>
        <w:rPr>
          <w:color w:val="555555"/>
          <w:sz w:val="18"/>
        </w:rPr>
        <w:t xml:space="preserve">Intelligente Verkehrssysteme Gesetz</w:t>
      </w:r>
    </w:p>
    <w:p>
      <w:r>
        <w:rPr>
          <w:color w:val="555555"/>
          <w:sz w:val="18"/>
        </w:rPr>
        <w:t xml:space="preserve">Historische Fassung: Stand 10.06.2019 bis 21.05.2026. Dies ist nicht die aktuelle Fassung.</w:t>
      </w:r>
    </w:p>
    <w:p>
      <w:r>
        <w:t xml:space="preserve">Die Bundesanstalt für Straßenwesen nimmt im Rahmen der bundesrechtlichen Regelungsbefugnisse die Aufgaben als Nationale Stelle wahr.</w:t>
      </w:r>
    </w:p>
    <w:p>
      <w:r>
        <w:rPr>
          <w:color w:val="555555"/>
          <w:sz w:val="17"/>
        </w:rPr>
        <w:t xml:space="preserve">Zitiervorschlag: § 5 IVSG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https://recht.nulegal.eu/gesetze/ivsg--2013/5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