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IVSG — Vorrangige Bereiche</w:t>
      </w:r>
    </w:p>
    <w:p>
      <w:r>
        <w:rPr>
          <w:color w:val="555555"/>
          <w:sz w:val="18"/>
        </w:rPr>
        <w:t xml:space="preserve">Intelligente Verkehrssysteme Gesetz</w:t>
      </w:r>
    </w:p>
    <w:p>
      <w:r>
        <w:rPr>
          <w:color w:val="555555"/>
          <w:sz w:val="18"/>
        </w:rPr>
        <w:t xml:space="preserve">Historische Fassung: Stand 10.06.2019 bis 21.05.2026. Dies ist nicht die aktuelle Fassung.</w:t>
      </w:r>
    </w:p>
    <w:p>
      <w:r>
        <w:t xml:space="preserve">Intelligente Verkehrssysteme können vorrangig für folgende Zwecke eingeführt werden:</w:t>
      </w:r>
    </w:p>
    <w:p>
      <w:pPr>
        <w:ind w:left="420"/>
      </w:pPr>
      <w:r>
        <w:t xml:space="preserve">1. optimale Nutzung von Straßen-, Verkehrs- und Reisedaten;</w:t>
      </w:r>
    </w:p>
    <w:p>
      <w:pPr>
        <w:ind w:left="420"/>
      </w:pPr>
      <w:r>
        <w:t xml:space="preserve">2. Kontinuität der Dienste Intelligenter Verkehrssysteme in den Bereichen Verkehrs- und Frachtmanagement;</w:t>
      </w:r>
    </w:p>
    <w:p>
      <w:pPr>
        <w:ind w:left="420"/>
      </w:pPr>
      <w:r>
        <w:t xml:space="preserve">3. Anwendungen Intelligenter Verkehrssysteme für die Straßenverkehrssicherheit;</w:t>
      </w:r>
    </w:p>
    <w:p>
      <w:pPr>
        <w:ind w:left="420"/>
      </w:pPr>
      <w:r>
        <w:t xml:space="preserve">4. Verbindung zwischen Fahrzeug und Verkehrsinfrastruktur.</w:t>
      </w:r>
    </w:p>
    <w:p>
      <w:r>
        <w:rPr>
          <w:color w:val="555555"/>
          <w:sz w:val="17"/>
        </w:rPr>
        <w:t xml:space="preserve">Zitiervorschlag: § 4 IVSG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https://recht.nulegal.eu/gesetze/ivsg--2013/4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