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IVSG — Grundsätze für die Einführung Intelligenter Verkehrssysteme</w:t>
      </w:r>
    </w:p>
    <w:p>
      <w:r>
        <w:rPr>
          <w:color w:val="555555"/>
          <w:sz w:val="18"/>
        </w:rPr>
        <w:t xml:space="preserve">Intelligente Verkehrssysteme Gesetz</w:t>
      </w:r>
    </w:p>
    <w:p>
      <w:r>
        <w:rPr>
          <w:color w:val="555555"/>
          <w:sz w:val="18"/>
        </w:rPr>
        <w:t xml:space="preserve">Historische Fassung: Stand 10.06.2019 bis 21.05.2026. Dies ist nicht die aktuelle Fassung.</w:t>
      </w:r>
    </w:p>
    <w:p>
      <w:r>
        <w:t xml:space="preserve">Bei der Einführung von Anwendungen und Diensten Intelligenter Verkehrssysteme müssen die zuständigen Behörden die von der Europäischen Kommission nach Artikel 6 der Richtlinie 2010/40/EU des Europäischen Parlaments und des Rates vom 7. Juli 2010 zum Rahmen für die Einführung intelligenter Verkehrssysteme im Straßenverkehr und für deren Schnittstellen zu anderen Verkehrsträgern (ABl. L 207 vom 6.8.2010, S. 1) erlassenen Spezifikationen unter Berücksichtigung der in Anhang II der Richtlinie 2010/40/EU in ihrer jeweils geltenden Fassung aufgeführten Grundsätze beachten. Personenbezogene Daten dürfen nur erhoben, verarbeitet oder genutzt werden, soweit dies durch eine bundesgesetzliche Regelung ausdrücklich zugelassen oder angeordnet wird.</w:t>
      </w:r>
    </w:p>
    <w:p>
      <w:r>
        <w:rPr>
          <w:color w:val="555555"/>
          <w:sz w:val="17"/>
        </w:rPr>
        <w:t xml:space="preserve">Zitiervorschlag: § 3 IVSG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https://recht.nulegal.eu/gesetze/ivsg--2013/3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