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IVSG — Geltungsbereich</w:t>
      </w:r>
    </w:p>
    <w:p>
      <w:r>
        <w:rPr>
          <w:color w:val="555555"/>
          <w:sz w:val="18"/>
        </w:rPr>
        <w:t xml:space="preserve">Intelligente Verkehrssysteme Gesetz</w:t>
      </w:r>
    </w:p>
    <w:p>
      <w:r>
        <w:rPr>
          <w:color w:val="555555"/>
          <w:sz w:val="18"/>
        </w:rPr>
        <w:t xml:space="preserve">Historische Fassung: Stand 10.06.2019 bis 21.05.2026. Dies ist nicht die aktuelle Fassung.</w:t>
      </w:r>
    </w:p>
    <w:p>
      <w:r>
        <w:t xml:space="preserve">Dieses Gesetz gilt für Intelligente Verkehrssysteme im Straßenverkehr und deren Schnittstellen zu anderen Verkehrsträgern. Dieses Gesetz gilt nicht für Intelligente Verkehrssysteme, die der öffentlichen Sicherheit oder der Verteidigung dienen.</w:t>
      </w:r>
    </w:p>
    <w:p>
      <w:r>
        <w:rPr>
          <w:color w:val="555555"/>
          <w:sz w:val="17"/>
        </w:rPr>
        <w:t xml:space="preserve">Zitiervorschlag: § 1 IVSG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https://recht.nulegal.eu/gesetze/ivsg--2013/1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IVSG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