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InformationsTechMstrV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Auf Grund des § 45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