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ImmoWertV</w:t>
      </w:r>
    </w:p>
    <w:p>
      <w:r>
        <w:rPr>
          <w:color w:val="555555"/>
          <w:sz w:val="18"/>
        </w:rPr>
        <w:t xml:space="preserve">Immobilienwertermittlungsverordnung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Auf Grund des § 199 Absatz 1 des Baugesetzbuchs, der zuletzt durch Artikel 4 Nummer 4 Buchstabe a des Gesetzes vom 24. Dezember 2008 (BGBl. I S. 3018) geändert worden ist, verordnet die Bundesregierung:</w:t>
      </w:r>
    </w:p>
    <w:p>
      <w:r>
        <w:rPr>
          <w:color w:val="555555"/>
          <w:sz w:val="17"/>
        </w:rPr>
        <w:t xml:space="preserve">Zitiervorschlag: Eingangsformel ImmoWertV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https://recht.nulegal.eu/gesetze/immowertv--2010/eingangsformel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