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ImmoWertV — Grundlagen der Ermittlung</w:t>
      </w:r>
    </w:p>
    <w:p>
      <w:r>
        <w:rPr>
          <w:color w:val="555555"/>
          <w:sz w:val="18"/>
        </w:rPr>
        <w:t xml:space="preserve">Immobilienwertermittlungsverordnung</w:t>
      </w:r>
    </w:p>
    <w:p>
      <w:r>
        <w:rPr>
          <w:color w:val="555555"/>
          <w:sz w:val="18"/>
        </w:rPr>
        <w:t xml:space="preserve">Historische Fassung: Stand 10.06.2019 bis 01.01.2022. Dies ist nicht die aktuelle Fassung.</w:t>
      </w:r>
    </w:p>
    <w:p>
      <w:r>
        <w:t xml:space="preserve">(1) Bodenrichtwerte (§ 10) und sonstige für die Wertermittlung erforderliche Daten sind insbesondere aus der Kaufpreissammlung (§ 193 Absatz 5 Satz 1 des Baugesetzbuchs) auf der Grundlage einer ausreichenden Zahl geeigneter Kaufpreise unter Berücksichtigung der allgemeinen Wertverhältnisse zu ermitteln. Zu den sonstigen erforderlichen Daten gehören insbesondere Indexreihen (§ 11), Umrechnungskoeffizienten (§ 12), Vergleichsfaktoren für bebaute Grundstücke (§ 13) sowie Marktanpassungsfaktoren und Liegenschaftszinssätze (§ 14).</w:t>
      </w:r>
    </w:p>
    <w:p>
      <w:r>
        <w:t xml:space="preserve">(2) Kaufpreise solcher Grundstücke, die in ihren Grundstücksmerkmalen voneinander abweichen, sind im Sinne des Absatzes 1 Satz 1 nur geeignet, wenn die Abweichungen</w:t>
      </w:r>
    </w:p>
    <w:p>
      <w:pPr>
        <w:ind w:left="420"/>
      </w:pPr>
      <w:r>
        <w:t xml:space="preserve">1. in ihren Auswirkungen auf die Preise sich ausgleichen,</w:t>
      </w:r>
    </w:p>
    <w:p>
      <w:pPr>
        <w:ind w:left="420"/>
      </w:pPr>
      <w:r>
        <w:t xml:space="preserve">2. durch Zu- oder Abschläge oder</w:t>
      </w:r>
    </w:p>
    <w:p>
      <w:pPr>
        <w:ind w:left="420"/>
      </w:pPr>
      <w:r>
        <w:t xml:space="preserve">3. durch andere geeignete Verfahren berücksichtigt werden können.</w:t>
      </w:r>
    </w:p>
    <w:p>
      <w:r>
        <w:rPr>
          <w:color w:val="555555"/>
          <w:sz w:val="17"/>
        </w:rPr>
        <w:t xml:space="preserve">Zitiervorschlag: § 9 ImmoWertV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https://recht.nulegal.eu/gesetze/immowertv--2010/9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ImmoWertV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